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65" w:rsidRDefault="00011965" w:rsidP="00C344F2">
      <w:pPr>
        <w:jc w:val="center"/>
        <w:rPr>
          <w:u w:val="single"/>
        </w:rPr>
      </w:pPr>
      <w:r>
        <w:rPr>
          <w:noProof/>
        </w:rPr>
        <w:drawing>
          <wp:anchor distT="0" distB="0" distL="114300" distR="114300" simplePos="0" relativeHeight="251659264" behindDoc="0" locked="0" layoutInCell="1" allowOverlap="1" wp14:anchorId="7756D42F" wp14:editId="59170D2D">
            <wp:simplePos x="0" y="0"/>
            <wp:positionH relativeFrom="column">
              <wp:posOffset>2266950</wp:posOffset>
            </wp:positionH>
            <wp:positionV relativeFrom="paragraph">
              <wp:posOffset>-200025</wp:posOffset>
            </wp:positionV>
            <wp:extent cx="1302565"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DT LOGO.jpg"/>
                    <pic:cNvPicPr/>
                  </pic:nvPicPr>
                  <pic:blipFill>
                    <a:blip r:embed="rId6">
                      <a:extLst>
                        <a:ext uri="{28A0092B-C50C-407E-A947-70E740481C1C}">
                          <a14:useLocalDpi xmlns:a14="http://schemas.microsoft.com/office/drawing/2010/main" val="0"/>
                        </a:ext>
                      </a:extLst>
                    </a:blip>
                    <a:stretch>
                      <a:fillRect/>
                    </a:stretch>
                  </pic:blipFill>
                  <pic:spPr>
                    <a:xfrm>
                      <a:off x="0" y="0"/>
                      <a:ext cx="1302565" cy="1905000"/>
                    </a:xfrm>
                    <a:prstGeom prst="rect">
                      <a:avLst/>
                    </a:prstGeom>
                  </pic:spPr>
                </pic:pic>
              </a:graphicData>
            </a:graphic>
            <wp14:sizeRelH relativeFrom="page">
              <wp14:pctWidth>0</wp14:pctWidth>
            </wp14:sizeRelH>
            <wp14:sizeRelV relativeFrom="page">
              <wp14:pctHeight>0</wp14:pctHeight>
            </wp14:sizeRelV>
          </wp:anchor>
        </w:drawing>
      </w:r>
    </w:p>
    <w:p w:rsidR="00011965" w:rsidRDefault="00011965" w:rsidP="00C344F2">
      <w:pPr>
        <w:jc w:val="center"/>
        <w:rPr>
          <w:u w:val="single"/>
        </w:rPr>
      </w:pPr>
    </w:p>
    <w:p w:rsidR="00011965" w:rsidRDefault="00011965" w:rsidP="00C344F2">
      <w:pPr>
        <w:jc w:val="center"/>
        <w:rPr>
          <w:u w:val="single"/>
        </w:rPr>
      </w:pPr>
    </w:p>
    <w:p w:rsidR="00011965" w:rsidRDefault="00011965" w:rsidP="00C344F2">
      <w:pPr>
        <w:jc w:val="center"/>
        <w:rPr>
          <w:u w:val="single"/>
        </w:rPr>
      </w:pPr>
    </w:p>
    <w:p w:rsidR="00011965" w:rsidRDefault="00011965" w:rsidP="00011965">
      <w:pPr>
        <w:rPr>
          <w:u w:val="single"/>
        </w:rPr>
      </w:pPr>
    </w:p>
    <w:p w:rsidR="00011965" w:rsidRDefault="00011965" w:rsidP="00011965">
      <w:pPr>
        <w:rPr>
          <w:u w:val="single"/>
        </w:rPr>
      </w:pPr>
    </w:p>
    <w:p w:rsidR="00C344F2" w:rsidRPr="00C344F2" w:rsidRDefault="00C344F2" w:rsidP="00C344F2">
      <w:pPr>
        <w:jc w:val="center"/>
        <w:rPr>
          <w:u w:val="single"/>
        </w:rPr>
      </w:pPr>
      <w:r>
        <w:rPr>
          <w:u w:val="single"/>
        </w:rPr>
        <w:t xml:space="preserve">AVDT </w:t>
      </w:r>
      <w:r w:rsidRPr="00C344F2">
        <w:rPr>
          <w:u w:val="single"/>
        </w:rPr>
        <w:t>Mentee Preparation</w:t>
      </w:r>
      <w:r>
        <w:rPr>
          <w:u w:val="single"/>
        </w:rPr>
        <w:t xml:space="preserve"> – Quiz 1</w:t>
      </w:r>
    </w:p>
    <w:p w:rsidR="00C344F2" w:rsidRDefault="00C344F2"/>
    <w:p w:rsidR="00C344F2" w:rsidRDefault="00C344F2" w:rsidP="00C344F2">
      <w:pPr>
        <w:pStyle w:val="ListParagraph"/>
        <w:numPr>
          <w:ilvl w:val="0"/>
          <w:numId w:val="1"/>
        </w:numPr>
      </w:pPr>
      <w:r>
        <w:t xml:space="preserve">Compare and contrast </w:t>
      </w:r>
      <w:r w:rsidR="00186089">
        <w:t>Hedstrom files and Kerr files using the following criteria:</w:t>
      </w:r>
    </w:p>
    <w:p w:rsidR="00186089" w:rsidRDefault="00186089" w:rsidP="00186089">
      <w:pPr>
        <w:pStyle w:val="ListParagraph"/>
        <w:numPr>
          <w:ilvl w:val="1"/>
          <w:numId w:val="1"/>
        </w:numPr>
      </w:pPr>
      <w:r>
        <w:t>Usage motion</w:t>
      </w:r>
    </w:p>
    <w:p w:rsidR="00186089" w:rsidRDefault="00186089" w:rsidP="00186089">
      <w:pPr>
        <w:pStyle w:val="ListParagraph"/>
        <w:numPr>
          <w:ilvl w:val="1"/>
          <w:numId w:val="1"/>
        </w:numPr>
      </w:pPr>
      <w:r>
        <w:t>Strength</w:t>
      </w:r>
    </w:p>
    <w:p w:rsidR="00186089" w:rsidRDefault="00186089" w:rsidP="00186089">
      <w:pPr>
        <w:pStyle w:val="ListParagraph"/>
        <w:numPr>
          <w:ilvl w:val="1"/>
          <w:numId w:val="1"/>
        </w:numPr>
      </w:pPr>
      <w:r>
        <w:t>Manner of manufacture</w:t>
      </w:r>
    </w:p>
    <w:p w:rsidR="00186089" w:rsidRDefault="00186089" w:rsidP="00186089">
      <w:pPr>
        <w:pStyle w:val="ListParagraph"/>
        <w:numPr>
          <w:ilvl w:val="1"/>
          <w:numId w:val="1"/>
        </w:numPr>
      </w:pPr>
      <w:r>
        <w:t>Direction of cut</w:t>
      </w:r>
    </w:p>
    <w:p w:rsidR="00C344F2" w:rsidRDefault="00C344F2" w:rsidP="00C344F2">
      <w:pPr>
        <w:pStyle w:val="ListParagraph"/>
      </w:pPr>
    </w:p>
    <w:p w:rsidR="00C344F2" w:rsidRDefault="00C344F2" w:rsidP="00186089">
      <w:pPr>
        <w:pStyle w:val="ListParagraph"/>
        <w:numPr>
          <w:ilvl w:val="0"/>
          <w:numId w:val="1"/>
        </w:numPr>
      </w:pPr>
      <w:r>
        <w:t xml:space="preserve">Compare and contrast </w:t>
      </w:r>
      <w:proofErr w:type="spellStart"/>
      <w:r w:rsidR="00186089">
        <w:t>magnetostrictive</w:t>
      </w:r>
      <w:proofErr w:type="spellEnd"/>
      <w:r w:rsidR="00186089">
        <w:t xml:space="preserve"> (ferrite rod and ferromagnetic stack) and piezoelectric scalers using the following criteria:</w:t>
      </w:r>
    </w:p>
    <w:p w:rsidR="00186089" w:rsidRDefault="00186089" w:rsidP="00186089">
      <w:pPr>
        <w:pStyle w:val="ListParagraph"/>
        <w:numPr>
          <w:ilvl w:val="1"/>
          <w:numId w:val="1"/>
        </w:numPr>
      </w:pPr>
      <w:r>
        <w:t>Portion of the tip that is active (we are looking for a length in mm)</w:t>
      </w:r>
    </w:p>
    <w:p w:rsidR="00186089" w:rsidRDefault="00186089" w:rsidP="00186089">
      <w:pPr>
        <w:pStyle w:val="ListParagraph"/>
        <w:numPr>
          <w:ilvl w:val="1"/>
          <w:numId w:val="1"/>
        </w:numPr>
      </w:pPr>
      <w:r>
        <w:t>The pattern of the tip’s vibration</w:t>
      </w:r>
    </w:p>
    <w:p w:rsidR="00C344F2" w:rsidRDefault="00C344F2" w:rsidP="00C344F2">
      <w:pPr>
        <w:pStyle w:val="ListParagraph"/>
      </w:pPr>
    </w:p>
    <w:p w:rsidR="00C344F2" w:rsidRDefault="00C344F2" w:rsidP="00C344F2">
      <w:pPr>
        <w:pStyle w:val="ListParagraph"/>
        <w:numPr>
          <w:ilvl w:val="0"/>
          <w:numId w:val="1"/>
        </w:numPr>
      </w:pPr>
      <w:r>
        <w:t>List the muscles of mastication and the actions of each.</w:t>
      </w:r>
    </w:p>
    <w:p w:rsidR="00C344F2" w:rsidRDefault="00C344F2" w:rsidP="00C344F2">
      <w:pPr>
        <w:pStyle w:val="ListParagraph"/>
      </w:pPr>
    </w:p>
    <w:p w:rsidR="00C344F2" w:rsidRDefault="00C344F2" w:rsidP="00C344F2">
      <w:pPr>
        <w:pStyle w:val="ListParagraph"/>
        <w:numPr>
          <w:ilvl w:val="0"/>
          <w:numId w:val="1"/>
        </w:numPr>
      </w:pPr>
      <w:r>
        <w:t>How many ways are there to determine if a tooth if vital and explain?</w:t>
      </w:r>
    </w:p>
    <w:p w:rsidR="00C344F2" w:rsidRDefault="00C344F2" w:rsidP="00C344F2">
      <w:pPr>
        <w:pStyle w:val="ListParagraph"/>
      </w:pPr>
    </w:p>
    <w:p w:rsidR="00C344F2" w:rsidRDefault="00C344F2" w:rsidP="00C344F2">
      <w:pPr>
        <w:pStyle w:val="ListParagraph"/>
      </w:pPr>
    </w:p>
    <w:p w:rsidR="00C344F2" w:rsidRDefault="00C344F2" w:rsidP="00C344F2">
      <w:pPr>
        <w:pStyle w:val="ListParagraph"/>
        <w:numPr>
          <w:ilvl w:val="0"/>
          <w:numId w:val="1"/>
        </w:numPr>
      </w:pPr>
      <w:r>
        <w:t>Use the word pool provided below to describe the dentition of the following species (some species will require the use of multiple terms and some term(s) may not be used at all):</w:t>
      </w:r>
    </w:p>
    <w:p w:rsidR="00C344F2" w:rsidRDefault="00C344F2" w:rsidP="00C344F2">
      <w:pPr>
        <w:pStyle w:val="ListParagraph"/>
      </w:pPr>
    </w:p>
    <w:p w:rsidR="00C344F2" w:rsidRDefault="00C344F2" w:rsidP="00C344F2">
      <w:pPr>
        <w:pStyle w:val="ListParagraph"/>
      </w:pPr>
      <w:r>
        <w:t xml:space="preserve">Canine, Feline, Lagomorphs, </w:t>
      </w:r>
      <w:proofErr w:type="spellStart"/>
      <w:r>
        <w:t>Caviomorph</w:t>
      </w:r>
      <w:proofErr w:type="spellEnd"/>
      <w:r>
        <w:t xml:space="preserve"> rodents, Murine rodents, Horse, Shark, Mustelids</w:t>
      </w:r>
    </w:p>
    <w:p w:rsidR="00011965" w:rsidRDefault="00011965" w:rsidP="00C344F2">
      <w:pPr>
        <w:pStyle w:val="ListParagraph"/>
      </w:pPr>
    </w:p>
    <w:p w:rsidR="00011965" w:rsidRPr="00011965" w:rsidRDefault="00011965" w:rsidP="00011965">
      <w:pPr>
        <w:pStyle w:val="ListParagraph"/>
        <w:jc w:val="center"/>
        <w:rPr>
          <w:u w:val="single"/>
        </w:rPr>
      </w:pPr>
      <w:r>
        <w:rPr>
          <w:u w:val="single"/>
        </w:rPr>
        <w:t>Word pool</w:t>
      </w:r>
    </w:p>
    <w:p w:rsidR="00C344F2" w:rsidRDefault="00C344F2" w:rsidP="00C344F2">
      <w:pPr>
        <w:pStyle w:val="ListParagraph"/>
      </w:pPr>
    </w:p>
    <w:p w:rsidR="00011965" w:rsidRDefault="00011965" w:rsidP="00C344F2">
      <w:pPr>
        <w:pStyle w:val="ListParagraph"/>
        <w:rPr>
          <w:u w:val="single"/>
        </w:rPr>
        <w:sectPr w:rsidR="00011965">
          <w:pgSz w:w="12240" w:h="15840"/>
          <w:pgMar w:top="1440" w:right="1440" w:bottom="1440" w:left="1440" w:header="720" w:footer="720" w:gutter="0"/>
          <w:cols w:space="720"/>
          <w:docGrid w:linePitch="360"/>
        </w:sectPr>
      </w:pPr>
    </w:p>
    <w:p w:rsidR="00C344F2" w:rsidRDefault="00C344F2" w:rsidP="00C344F2">
      <w:pPr>
        <w:pStyle w:val="ListParagraph"/>
      </w:pPr>
      <w:proofErr w:type="spellStart"/>
      <w:r>
        <w:lastRenderedPageBreak/>
        <w:t>Brachyodont</w:t>
      </w:r>
      <w:proofErr w:type="spellEnd"/>
    </w:p>
    <w:p w:rsidR="00C344F2" w:rsidRDefault="00C344F2" w:rsidP="00C344F2">
      <w:pPr>
        <w:pStyle w:val="ListParagraph"/>
      </w:pPr>
      <w:proofErr w:type="spellStart"/>
      <w:r>
        <w:t>Monophyodont</w:t>
      </w:r>
      <w:proofErr w:type="spellEnd"/>
    </w:p>
    <w:p w:rsidR="00C344F2" w:rsidRDefault="00C344F2" w:rsidP="00C344F2">
      <w:pPr>
        <w:pStyle w:val="ListParagraph"/>
      </w:pPr>
      <w:proofErr w:type="spellStart"/>
      <w:r>
        <w:t>Diphyodont</w:t>
      </w:r>
      <w:proofErr w:type="spellEnd"/>
    </w:p>
    <w:p w:rsidR="00C344F2" w:rsidRDefault="00C344F2" w:rsidP="00C344F2">
      <w:pPr>
        <w:pStyle w:val="ListParagraph"/>
      </w:pPr>
      <w:proofErr w:type="spellStart"/>
      <w:r>
        <w:t>Polyphyodont</w:t>
      </w:r>
      <w:proofErr w:type="spellEnd"/>
    </w:p>
    <w:p w:rsidR="00C344F2" w:rsidRDefault="00C344F2" w:rsidP="00C344F2">
      <w:pPr>
        <w:pStyle w:val="ListParagraph"/>
      </w:pPr>
      <w:proofErr w:type="spellStart"/>
      <w:r>
        <w:t>Secodont</w:t>
      </w:r>
      <w:proofErr w:type="spellEnd"/>
    </w:p>
    <w:p w:rsidR="00011965" w:rsidRDefault="00011965" w:rsidP="00011965">
      <w:pPr>
        <w:pStyle w:val="ListParagraph"/>
      </w:pPr>
      <w:proofErr w:type="spellStart"/>
      <w:r>
        <w:lastRenderedPageBreak/>
        <w:t>Lophodont</w:t>
      </w:r>
      <w:proofErr w:type="spellEnd"/>
    </w:p>
    <w:p w:rsidR="00011965" w:rsidRDefault="00011965" w:rsidP="00011965">
      <w:pPr>
        <w:pStyle w:val="ListParagraph"/>
      </w:pPr>
      <w:proofErr w:type="spellStart"/>
      <w:r>
        <w:t>Selenodont</w:t>
      </w:r>
      <w:proofErr w:type="spellEnd"/>
    </w:p>
    <w:p w:rsidR="00011965" w:rsidRDefault="00011965" w:rsidP="00011965">
      <w:pPr>
        <w:pStyle w:val="ListParagraph"/>
      </w:pPr>
      <w:proofErr w:type="spellStart"/>
      <w:r>
        <w:t>Bunodont</w:t>
      </w:r>
      <w:proofErr w:type="spellEnd"/>
    </w:p>
    <w:p w:rsidR="00011965" w:rsidRDefault="00011965" w:rsidP="00011965">
      <w:pPr>
        <w:pStyle w:val="ListParagraph"/>
      </w:pPr>
      <w:r>
        <w:t>Radicular hypsodont</w:t>
      </w:r>
    </w:p>
    <w:p w:rsidR="00011965" w:rsidRDefault="00011965" w:rsidP="00011965">
      <w:pPr>
        <w:pStyle w:val="ListParagraph"/>
      </w:pPr>
      <w:proofErr w:type="spellStart"/>
      <w:r>
        <w:t>Elodont</w:t>
      </w:r>
      <w:proofErr w:type="spellEnd"/>
    </w:p>
    <w:p w:rsidR="00011965" w:rsidRDefault="00011965" w:rsidP="00011965">
      <w:pPr>
        <w:pStyle w:val="ListParagraph"/>
      </w:pPr>
      <w:proofErr w:type="spellStart"/>
      <w:r>
        <w:lastRenderedPageBreak/>
        <w:t>Anelodont</w:t>
      </w:r>
      <w:proofErr w:type="spellEnd"/>
    </w:p>
    <w:p w:rsidR="00011965" w:rsidRDefault="00011965" w:rsidP="00C344F2">
      <w:pPr>
        <w:pStyle w:val="ListParagraph"/>
      </w:pPr>
      <w:r>
        <w:t>Homodont</w:t>
      </w:r>
    </w:p>
    <w:p w:rsidR="00C344F2" w:rsidRDefault="00C344F2" w:rsidP="00C344F2">
      <w:pPr>
        <w:pStyle w:val="ListParagraph"/>
      </w:pPr>
      <w:proofErr w:type="spellStart"/>
      <w:r>
        <w:t>Heterodont</w:t>
      </w:r>
      <w:proofErr w:type="spellEnd"/>
    </w:p>
    <w:p w:rsidR="00011965" w:rsidRDefault="00011965" w:rsidP="00011965">
      <w:pPr>
        <w:pStyle w:val="ListParagraph"/>
        <w:sectPr w:rsidR="00011965" w:rsidSect="00011965">
          <w:type w:val="continuous"/>
          <w:pgSz w:w="12240" w:h="15840"/>
          <w:pgMar w:top="1440" w:right="1440" w:bottom="1440" w:left="1440" w:header="720" w:footer="720" w:gutter="0"/>
          <w:cols w:num="3" w:space="720"/>
          <w:docGrid w:linePitch="360"/>
        </w:sectPr>
      </w:pPr>
    </w:p>
    <w:p w:rsidR="00C344F2" w:rsidRDefault="00C344F2" w:rsidP="00011965">
      <w:pPr>
        <w:pStyle w:val="ListParagraph"/>
      </w:pPr>
      <w:bookmarkStart w:id="0" w:name="_GoBack"/>
      <w:bookmarkEnd w:id="0"/>
    </w:p>
    <w:sectPr w:rsidR="00C344F2" w:rsidSect="000119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030F"/>
    <w:multiLevelType w:val="hybridMultilevel"/>
    <w:tmpl w:val="14322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F2"/>
    <w:rsid w:val="00011965"/>
    <w:rsid w:val="0013267F"/>
    <w:rsid w:val="00186089"/>
    <w:rsid w:val="009A73E5"/>
    <w:rsid w:val="00C3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heme="minorHAnsi" w:hAnsi="Gadugi"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heme="minorHAnsi" w:hAnsi="Gadugi"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Steele</dc:creator>
  <cp:lastModifiedBy>Kendra Steele</cp:lastModifiedBy>
  <cp:revision>3</cp:revision>
  <dcterms:created xsi:type="dcterms:W3CDTF">2018-03-03T00:36:00Z</dcterms:created>
  <dcterms:modified xsi:type="dcterms:W3CDTF">2018-05-11T23:43:00Z</dcterms:modified>
</cp:coreProperties>
</file>